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12" w:rsidRDefault="00180412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 xml:space="preserve">IBM Promotional Spend Compliance Accelerator for Life Sciences (PSC) </w:t>
      </w:r>
      <w:bookmarkStart w:id="0" w:name="_GoBack"/>
      <w:bookmarkEnd w:id="0"/>
      <w:r>
        <w:rPr>
          <w:rFonts w:ascii="Calibri" w:hAnsi="Calibri" w:cs="Calibri"/>
          <w:sz w:val="34"/>
          <w:szCs w:val="34"/>
        </w:rPr>
        <w:t>Business Demo and Script</w:t>
      </w:r>
    </w:p>
    <w:p w:rsidR="00180412" w:rsidRDefault="00180412">
      <w:pPr>
        <w:pStyle w:val="NormalWeb"/>
        <w:spacing w:before="0" w:beforeAutospacing="0" w:after="0" w:afterAutospacing="0"/>
      </w:pPr>
      <w:r>
        <w:t>  </w:t>
      </w:r>
    </w:p>
    <w:p w:rsidR="00180412" w:rsidRDefault="0018041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Instead of showing a full scenario, I have attempted to highlight the capabilities in a quick 5 minute demo, focusing only on small snippets from the solution and scenarios. </w:t>
      </w:r>
    </w:p>
    <w:p w:rsidR="00180412" w:rsidRDefault="00180412">
      <w:pPr>
        <w:pStyle w:val="NormalWeb"/>
        <w:spacing w:before="0" w:beforeAutospacing="0" w:after="0" w:afterAutospacing="0"/>
      </w:pPr>
      <w:r>
        <w:t> </w:t>
      </w:r>
    </w:p>
    <w:tbl>
      <w:tblPr>
        <w:tblW w:w="14506" w:type="dxa"/>
        <w:tblInd w:w="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686"/>
        <w:gridCol w:w="2361"/>
        <w:gridCol w:w="5541"/>
        <w:gridCol w:w="4087"/>
        <w:gridCol w:w="831"/>
      </w:tblGrid>
      <w:tr w:rsidR="00180412" w:rsidRPr="00994C7A" w:rsidTr="00122104">
        <w:trPr>
          <w:divId w:val="1360084233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Scene</w:t>
            </w:r>
          </w:p>
        </w:tc>
        <w:tc>
          <w:tcPr>
            <w:tcW w:w="2361" w:type="dxa"/>
            <w:shd w:val="clear" w:color="auto" w:fill="EDF2F8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Product Screens</w:t>
            </w:r>
          </w:p>
        </w:tc>
        <w:tc>
          <w:tcPr>
            <w:tcW w:w="5541" w:type="dxa"/>
            <w:shd w:val="clear" w:color="auto" w:fill="EDF2F8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Visible Text</w:t>
            </w:r>
          </w:p>
        </w:tc>
        <w:tc>
          <w:tcPr>
            <w:tcW w:w="4087" w:type="dxa"/>
            <w:shd w:val="clear" w:color="auto" w:fill="EDF2F8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Dialog</w:t>
            </w:r>
          </w:p>
        </w:tc>
        <w:tc>
          <w:tcPr>
            <w:tcW w:w="831" w:type="dxa"/>
            <w:shd w:val="clear" w:color="auto" w:fill="EDF2F8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Intro</w:t>
            </w:r>
          </w:p>
        </w:tc>
        <w:tc>
          <w:tcPr>
            <w:tcW w:w="23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Black background</w:t>
            </w:r>
          </w:p>
        </w:tc>
        <w:tc>
          <w:tcPr>
            <w:tcW w:w="55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1E3737">
            <w:pPr>
              <w:numPr>
                <w:ilvl w:val="0"/>
                <w:numId w:val="46"/>
                <w:numberingChange w:id="1" w:author="Unknown" w:date="2011-04-06T13:30:00Z" w:original="%1:1:0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IBM Logo + </w:t>
            </w:r>
            <w:r>
              <w:rPr>
                <w:rFonts w:ascii="Calibri" w:hAnsi="Calibri" w:cs="Calibri"/>
                <w:sz w:val="22"/>
                <w:szCs w:val="22"/>
              </w:rPr>
              <w:t>PPSA</w:t>
            </w:r>
          </w:p>
          <w:p w:rsidR="00180412" w:rsidRPr="00994C7A" w:rsidRDefault="00180412" w:rsidP="001E3737">
            <w:pPr>
              <w:numPr>
                <w:ilvl w:val="0"/>
                <w:numId w:val="46"/>
                <w:numberingChange w:id="2" w:author="Unknown" w:date="2011-04-06T13:30:00Z" w:original="%1:2:0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IBM </w:t>
            </w:r>
            <w:r>
              <w:rPr>
                <w:rFonts w:ascii="Calibri" w:hAnsi="Calibri" w:cs="Calibri"/>
                <w:sz w:val="22"/>
                <w:szCs w:val="22"/>
              </w:rPr>
              <w:t>Promotional Spend Compliance Accelerator for Life Sciences</w:t>
            </w:r>
          </w:p>
          <w:p w:rsidR="00180412" w:rsidRPr="00994C7A" w:rsidRDefault="00180412" w:rsidP="00223771">
            <w:pPr>
              <w:numPr>
                <w:ilvl w:val="0"/>
                <w:numId w:val="46"/>
                <w:numberingChange w:id="3" w:author="Unknown" w:date="2011-04-06T13:30:00Z" w:original="%1:3:0:."/>
              </w:numPr>
              <w:ind w:right="-267"/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Show Process, Rules, and Analytics icons combined</w:t>
            </w:r>
          </w:p>
        </w:tc>
        <w:tc>
          <w:tcPr>
            <w:tcW w:w="408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Default="00180412" w:rsidP="008D0CA2">
            <w:pPr>
              <w:pStyle w:val="NormalWeb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With a renewed focus on </w:t>
            </w:r>
            <w:r>
              <w:rPr>
                <w:rFonts w:ascii="Calibri" w:hAnsi="Calibri" w:cs="Calibri"/>
                <w:sz w:val="22"/>
                <w:szCs w:val="22"/>
              </w:rPr>
              <w:t>compliance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oversight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and </w:t>
            </w:r>
            <w:r>
              <w:rPr>
                <w:rFonts w:ascii="Calibri" w:hAnsi="Calibri" w:cs="Calibri"/>
                <w:sz w:val="22"/>
                <w:szCs w:val="22"/>
              </w:rPr>
              <w:t>transparency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reporting of </w:t>
            </w:r>
            <w:r w:rsidRPr="008D0CA2">
              <w:rPr>
                <w:rFonts w:ascii="Calibri" w:hAnsi="Calibri" w:cs="Calibri"/>
                <w:sz w:val="22"/>
                <w:szCs w:val="22"/>
                <w:lang w:val="en-AU"/>
              </w:rPr>
              <w:t>gifts and payments made to physicians and teaching hospitals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the US </w:t>
            </w:r>
            <w:r w:rsidRPr="008D0CA2">
              <w:rPr>
                <w:rFonts w:ascii="Calibri" w:hAnsi="Calibri" w:cs="Calibri"/>
                <w:sz w:val="22"/>
                <w:szCs w:val="22"/>
              </w:rPr>
              <w:t xml:space="preserve">federal </w:t>
            </w:r>
            <w:r>
              <w:rPr>
                <w:rFonts w:ascii="Calibri" w:hAnsi="Calibri" w:cs="Calibri"/>
                <w:sz w:val="22"/>
                <w:szCs w:val="22"/>
              </w:rPr>
              <w:t>government</w:t>
            </w:r>
            <w:r w:rsidRPr="008D0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 w:rsidRPr="008D0CA2">
              <w:rPr>
                <w:rFonts w:ascii="Calibri" w:hAnsi="Calibri" w:cs="Calibri"/>
                <w:sz w:val="22"/>
                <w:szCs w:val="22"/>
              </w:rPr>
              <w:t xml:space="preserve"> several state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D0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have passed laws to</w:t>
            </w:r>
            <w:r w:rsidRPr="008D0CA2">
              <w:rPr>
                <w:rFonts w:ascii="Calibri" w:hAnsi="Calibri" w:cs="Calibri"/>
                <w:sz w:val="22"/>
                <w:szCs w:val="22"/>
              </w:rPr>
              <w:t xml:space="preserve"> regulate aggregate promotion</w:t>
            </w:r>
            <w:r>
              <w:rPr>
                <w:rFonts w:ascii="Calibri" w:hAnsi="Calibri" w:cs="Calibri"/>
                <w:sz w:val="22"/>
                <w:szCs w:val="22"/>
              </w:rPr>
              <w:t>al</w:t>
            </w:r>
            <w:r w:rsidRPr="008D0CA2">
              <w:rPr>
                <w:rFonts w:ascii="Calibri" w:hAnsi="Calibri" w:cs="Calibri"/>
                <w:sz w:val="22"/>
                <w:szCs w:val="22"/>
              </w:rPr>
              <w:t xml:space="preserve"> spend </w:t>
            </w:r>
          </w:p>
          <w:p w:rsidR="00180412" w:rsidRPr="00B11F3B" w:rsidRDefault="00180412" w:rsidP="00B11F3B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Life Sciences including </w:t>
            </w:r>
            <w:r w:rsidRPr="00B11F3B">
              <w:rPr>
                <w:rFonts w:ascii="Calibri" w:hAnsi="Calibri" w:cs="Calibri"/>
                <w:sz w:val="22"/>
                <w:szCs w:val="22"/>
                <w:lang w:val="en-AU"/>
              </w:rPr>
              <w:t>Pharma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ceutical , </w:t>
            </w:r>
            <w:r w:rsidRPr="00B11F3B">
              <w:rPr>
                <w:rFonts w:ascii="Calibri" w:hAnsi="Calibri" w:cs="Calibri"/>
                <w:sz w:val="22"/>
                <w:szCs w:val="22"/>
                <w:lang w:val="en-AU"/>
              </w:rPr>
              <w:t>Med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>ical Device</w:t>
            </w:r>
            <w:r w:rsidRPr="00B11F3B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and Bio-tech </w:t>
            </w:r>
            <w:r w:rsidRPr="00B11F3B">
              <w:rPr>
                <w:rFonts w:ascii="Calibri" w:hAnsi="Calibri" w:cs="Calibri"/>
                <w:sz w:val="22"/>
                <w:szCs w:val="22"/>
                <w:lang w:val="en-AU"/>
              </w:rPr>
              <w:t>companies need to use a systematic approach to tackle the promotional spend compliance issue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>s</w:t>
            </w:r>
            <w:r w:rsidRPr="00B11F3B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at corporate, state and federal levels</w:t>
            </w:r>
          </w:p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IBM's </w:t>
            </w:r>
            <w:r>
              <w:rPr>
                <w:rFonts w:ascii="Calibri" w:hAnsi="Calibri" w:cs="Calibri"/>
                <w:sz w:val="22"/>
                <w:szCs w:val="22"/>
              </w:rPr>
              <w:t>Promotional Spend Compliance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Accelerator for </w:t>
            </w:r>
            <w:r>
              <w:rPr>
                <w:rFonts w:ascii="Calibri" w:hAnsi="Calibri" w:cs="Calibri"/>
                <w:sz w:val="22"/>
                <w:szCs w:val="22"/>
              </w:rPr>
              <w:t>Life Sciences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enables </w:t>
            </w:r>
            <w:r>
              <w:rPr>
                <w:rFonts w:ascii="Calibri" w:hAnsi="Calibri" w:cs="Calibri"/>
                <w:sz w:val="22"/>
                <w:szCs w:val="22"/>
              </w:rPr>
              <w:t>you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to meet these challenges with a</w:t>
            </w:r>
            <w:r w:rsidRPr="00B11F3B">
              <w:rPr>
                <w:rFonts w:ascii="Calibri" w:hAnsi="Calibri" w:cs="Calibri"/>
                <w:iCs/>
                <w:sz w:val="22"/>
                <w:szCs w:val="22"/>
                <w:lang w:val="en-AU"/>
              </w:rPr>
              <w:t xml:space="preserve"> flexible, expandable and robust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solution that includes comprehensive coverage of common </w:t>
            </w:r>
            <w:r>
              <w:rPr>
                <w:rFonts w:ascii="Calibri" w:hAnsi="Calibri" w:cs="Calibri"/>
                <w:sz w:val="22"/>
                <w:szCs w:val="22"/>
              </w:rPr>
              <w:t>promotional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processes</w:t>
            </w:r>
            <w:r w:rsidRPr="00B11F3B">
              <w:rPr>
                <w:rFonts w:ascii="Calibri" w:hAnsi="Calibri" w:cs="Calibri"/>
                <w:iCs/>
                <w:sz w:val="22"/>
                <w:szCs w:val="22"/>
                <w:lang w:val="en-AU"/>
              </w:rPr>
              <w:t xml:space="preserve"> to ensure </w:t>
            </w:r>
            <w:r>
              <w:rPr>
                <w:rFonts w:ascii="Calibri" w:hAnsi="Calibri" w:cs="Calibri"/>
                <w:iCs/>
                <w:sz w:val="22"/>
                <w:szCs w:val="22"/>
                <w:lang w:val="en-AU"/>
              </w:rPr>
              <w:t xml:space="preserve">regulatory </w:t>
            </w:r>
            <w:r w:rsidRPr="00B11F3B">
              <w:rPr>
                <w:rFonts w:ascii="Calibri" w:hAnsi="Calibri" w:cs="Calibri"/>
                <w:iCs/>
                <w:sz w:val="22"/>
                <w:szCs w:val="22"/>
                <w:lang w:val="en-AU"/>
              </w:rPr>
              <w:t>compliance</w:t>
            </w:r>
            <w:r>
              <w:rPr>
                <w:rFonts w:ascii="Calibri" w:hAnsi="Calibri" w:cs="Calibri"/>
                <w:iCs/>
                <w:sz w:val="22"/>
                <w:szCs w:val="22"/>
                <w:lang w:val="en-AU"/>
              </w:rPr>
              <w:t xml:space="preserve"> and combined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with business agility enablers that provide integrated workflow across systems, faster response to policy changes with configurable business rules, and increased insight into program performance. </w:t>
            </w:r>
          </w:p>
        </w:tc>
        <w:tc>
          <w:tcPr>
            <w:tcW w:w="831" w:type="dxa"/>
            <w:tcBorders>
              <w:lef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sz w:val="22"/>
                <w:szCs w:val="22"/>
              </w:rPr>
              <w:t>Transition 1</w:t>
            </w:r>
          </w:p>
        </w:tc>
        <w:tc>
          <w:tcPr>
            <w:tcW w:w="2361" w:type="dxa"/>
            <w:shd w:val="clear" w:color="auto" w:fill="D3DFEE"/>
          </w:tcPr>
          <w:p w:rsidR="00180412" w:rsidRPr="00994C7A" w:rsidRDefault="00180412" w:rsidP="00994C7A">
            <w:p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fade to black background with white text</w:t>
            </w:r>
          </w:p>
        </w:tc>
        <w:tc>
          <w:tcPr>
            <w:tcW w:w="5541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Holistic</w:t>
            </w:r>
          </w:p>
        </w:tc>
        <w:tc>
          <w:tcPr>
            <w:tcW w:w="4087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831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3s</w:t>
            </w:r>
          </w:p>
        </w:tc>
      </w:tr>
      <w:tr w:rsidR="00180412" w:rsidRPr="00994C7A" w:rsidTr="00122104">
        <w:trPr>
          <w:divId w:val="1360084233"/>
          <w:trHeight w:val="2698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Integrated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olistic solution</w:t>
            </w:r>
          </w:p>
        </w:tc>
        <w:tc>
          <w:tcPr>
            <w:tcW w:w="23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1E3737">
            <w:pPr>
              <w:numPr>
                <w:ilvl w:val="0"/>
                <w:numId w:val="43"/>
                <w:numberingChange w:id="4" w:author="Unknown" w:date="2011-04-06T13:30:00Z" w:original="%1:1:0:."/>
              </w:numPr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how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Compliance Officer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(Archie)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logging 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see any outstanding issues; Promotional Expense violations and Covered Recipient Spend report disputes </w:t>
            </w:r>
          </w:p>
          <w:p w:rsidR="00180412" w:rsidRPr="00994C7A" w:rsidRDefault="00180412" w:rsidP="001E3737">
            <w:pPr>
              <w:numPr>
                <w:ilvl w:val="0"/>
                <w:numId w:val="43"/>
                <w:numberingChange w:id="5" w:author="Unknown" w:date="2011-04-06T13:30:00Z" w:original="%1:2:0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Show </w:t>
            </w:r>
            <w:r>
              <w:rPr>
                <w:rFonts w:ascii="Calibri" w:hAnsi="Calibri" w:cs="Calibri"/>
                <w:sz w:val="22"/>
                <w:szCs w:val="22"/>
              </w:rPr>
              <w:t>Compliance Officer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Main screen</w:t>
            </w:r>
            <w:r>
              <w:rPr>
                <w:rFonts w:ascii="Calibri" w:hAnsi="Calibri" w:cs="Calibri"/>
                <w:sz w:val="22"/>
                <w:szCs w:val="22"/>
              </w:rPr>
              <w:t>. (Create Case etc.)</w:t>
            </w:r>
          </w:p>
          <w:p w:rsidR="00180412" w:rsidRPr="00994C7A" w:rsidRDefault="00180412" w:rsidP="001E3737">
            <w:pPr>
              <w:numPr>
                <w:ilvl w:val="0"/>
                <w:numId w:val="43"/>
                <w:numberingChange w:id="6" w:author="Unknown" w:date="2011-04-06T13:30:00Z" w:original="%1:3:0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Show 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Report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dashboard </w:t>
            </w:r>
          </w:p>
        </w:tc>
        <w:tc>
          <w:tcPr>
            <w:tcW w:w="55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408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IBM's </w:t>
            </w:r>
            <w:r>
              <w:rPr>
                <w:rFonts w:ascii="Calibri" w:hAnsi="Calibri" w:cs="Calibri"/>
                <w:sz w:val="22"/>
                <w:szCs w:val="22"/>
              </w:rPr>
              <w:t>Accelerator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is offered as a single, holistic offering that covers the full breadth of </w:t>
            </w:r>
            <w:r>
              <w:rPr>
                <w:rFonts w:ascii="Calibri" w:hAnsi="Calibri" w:cs="Calibri"/>
                <w:sz w:val="22"/>
                <w:szCs w:val="22"/>
              </w:rPr>
              <w:t>promotional spend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needs.  Combined under a single web-based user interface, transparency is top of mind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as the solution enables concurrent, securely controlled access by multiple stakeholders including </w:t>
            </w:r>
            <w:r>
              <w:rPr>
                <w:rFonts w:ascii="Calibri" w:hAnsi="Calibri" w:cs="Calibri"/>
                <w:sz w:val="22"/>
                <w:szCs w:val="22"/>
              </w:rPr>
              <w:t>Spend Users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Covered Recipients, PSC Administrators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sz w:val="22"/>
                <w:szCs w:val="22"/>
              </w:rPr>
              <w:t>Compliance Officers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.   What makes this solution truly unique is that in addition to providing the core foundational processes for </w:t>
            </w:r>
            <w:r>
              <w:rPr>
                <w:rFonts w:ascii="Calibri" w:hAnsi="Calibri" w:cs="Calibri"/>
                <w:sz w:val="22"/>
                <w:szCs w:val="22"/>
              </w:rPr>
              <w:t>promotional spend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it also delivers solid insight into </w:t>
            </w:r>
            <w:r>
              <w:rPr>
                <w:rFonts w:ascii="Calibri" w:hAnsi="Calibri" w:cs="Calibri"/>
                <w:sz w:val="22"/>
                <w:szCs w:val="22"/>
              </w:rPr>
              <w:t>spending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trends, enabling </w:t>
            </w:r>
            <w:r>
              <w:rPr>
                <w:rFonts w:ascii="Calibri" w:hAnsi="Calibri" w:cs="Calibri"/>
                <w:sz w:val="22"/>
                <w:szCs w:val="22"/>
              </w:rPr>
              <w:t>companies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to quickly understand and take action to address </w:t>
            </w:r>
            <w:r>
              <w:rPr>
                <w:rFonts w:ascii="Calibri" w:hAnsi="Calibri" w:cs="Calibri"/>
                <w:sz w:val="22"/>
                <w:szCs w:val="22"/>
              </w:rPr>
              <w:t>how best to allocate their marketing funds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1" w:type="dxa"/>
            <w:tcBorders>
              <w:lef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sz w:val="22"/>
                <w:szCs w:val="22"/>
              </w:rPr>
              <w:t>Transition 2</w:t>
            </w:r>
          </w:p>
        </w:tc>
        <w:tc>
          <w:tcPr>
            <w:tcW w:w="2361" w:type="dxa"/>
            <w:shd w:val="clear" w:color="auto" w:fill="D3DFEE"/>
          </w:tcPr>
          <w:p w:rsidR="00180412" w:rsidRPr="00994C7A" w:rsidRDefault="00180412" w:rsidP="007C154A">
            <w:pPr>
              <w:pStyle w:val="ListParagraph"/>
              <w:ind w:left="0"/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fade to black background with white text</w:t>
            </w:r>
          </w:p>
        </w:tc>
        <w:tc>
          <w:tcPr>
            <w:tcW w:w="5541" w:type="dxa"/>
            <w:shd w:val="clear" w:color="auto" w:fill="D3DFE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Comprehensive</w:t>
            </w:r>
          </w:p>
        </w:tc>
        <w:tc>
          <w:tcPr>
            <w:tcW w:w="4087" w:type="dxa"/>
            <w:shd w:val="clear" w:color="auto" w:fill="D3DFE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831" w:type="dxa"/>
            <w:shd w:val="clear" w:color="auto" w:fill="D3DFE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3s</w:t>
            </w:r>
          </w:p>
        </w:tc>
      </w:tr>
      <w:tr w:rsidR="00180412" w:rsidRPr="00994C7A" w:rsidTr="00122104">
        <w:trPr>
          <w:divId w:val="1360084233"/>
          <w:trHeight w:val="4651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Comprehensive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Promotional Spend</w:t>
            </w: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process coverage and customization</w:t>
            </w:r>
          </w:p>
        </w:tc>
        <w:tc>
          <w:tcPr>
            <w:tcW w:w="23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1E3737">
            <w:pPr>
              <w:pStyle w:val="ListParagraph"/>
              <w:numPr>
                <w:ilvl w:val="0"/>
                <w:numId w:val="44"/>
                <w:numberingChange w:id="7" w:author="Unknown" w:date="2011-04-06T13:30:00Z" w:original="%1:1:0:."/>
              </w:numPr>
              <w:textAlignment w:val="center"/>
              <w:rPr>
                <w:rFonts w:ascii="Calibri" w:hAnsi="Calibri" w:cs="Calibri"/>
                <w:color w:val="000000"/>
              </w:rPr>
            </w:pPr>
            <w:r w:rsidRPr="00994C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Spend User (Adam) Promotional Spend violation</w:t>
            </w:r>
          </w:p>
          <w:p w:rsidR="00180412" w:rsidRPr="00994C7A" w:rsidRDefault="00180412" w:rsidP="001E3737">
            <w:pPr>
              <w:pStyle w:val="ListParagraph"/>
              <w:numPr>
                <w:ilvl w:val="1"/>
                <w:numId w:val="44"/>
                <w:numberingChange w:id="8" w:author="Unknown" w:date="2011-04-06T13:30:00Z" w:original="%2:1:4:."/>
              </w:num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Spend User receives notification of Promotional Spend violation</w:t>
            </w:r>
          </w:p>
          <w:p w:rsidR="00180412" w:rsidRPr="00994C7A" w:rsidRDefault="00180412" w:rsidP="001E3737">
            <w:pPr>
              <w:pStyle w:val="ListParagraph"/>
              <w:numPr>
                <w:ilvl w:val="1"/>
                <w:numId w:val="44"/>
                <w:numberingChange w:id="9" w:author="Unknown" w:date="2011-04-06T13:30:00Z" w:original="%2:2:4:."/>
              </w:numPr>
              <w:textAlignment w:val="center"/>
              <w:rPr>
                <w:rFonts w:ascii="Calibri" w:hAnsi="Calibri" w:cs="Calibri"/>
                <w:color w:val="000000"/>
              </w:rPr>
            </w:pPr>
            <w:r w:rsidRPr="00994C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Spend User</w:t>
            </w:r>
            <w:r w:rsidRPr="00994C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updating Promotional Spend record</w:t>
            </w:r>
            <w:r w:rsidRPr="00994C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80412" w:rsidRPr="00994C7A" w:rsidRDefault="00180412" w:rsidP="001E3737">
            <w:pPr>
              <w:pStyle w:val="ListParagraph"/>
              <w:numPr>
                <w:ilvl w:val="1"/>
                <w:numId w:val="44"/>
                <w:numberingChange w:id="10" w:author="Unknown" w:date="2011-04-06T13:30:00Z" w:original="%2:3:4:."/>
              </w:num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Compliance Officer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reviews and closes Case</w:t>
            </w:r>
          </w:p>
          <w:p w:rsidR="00180412" w:rsidRPr="004C7EE1" w:rsidRDefault="00180412" w:rsidP="00223771">
            <w:pPr>
              <w:pStyle w:val="ListParagraph"/>
              <w:ind w:left="0"/>
              <w:textAlignment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5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408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nsuring efficient and effective processes that remain consistent throughout the business ecosystem is a major challenge.  Whether it is a </w:t>
            </w:r>
            <w:r>
              <w:rPr>
                <w:rFonts w:ascii="Calibri" w:hAnsi="Calibri" w:cs="Calibri"/>
                <w:sz w:val="22"/>
                <w:szCs w:val="22"/>
              </w:rPr>
              <w:t>Spend User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submitting an Expense report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a </w:t>
            </w:r>
            <w:r>
              <w:rPr>
                <w:rFonts w:ascii="Calibri" w:hAnsi="Calibri" w:cs="Calibri"/>
                <w:sz w:val="22"/>
                <w:szCs w:val="22"/>
              </w:rPr>
              <w:t>Compliance Officer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reviewing these reports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or a </w:t>
            </w:r>
            <w:r>
              <w:rPr>
                <w:rFonts w:ascii="Calibri" w:hAnsi="Calibri" w:cs="Calibri"/>
                <w:sz w:val="22"/>
                <w:szCs w:val="22"/>
              </w:rPr>
              <w:t>PCS Administrator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making rule changes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the solution provides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comprehensive pre-built, thoroughly tested and scalable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set of promotion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processes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0412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As an example, a </w:t>
            </w:r>
            <w:r>
              <w:rPr>
                <w:rFonts w:ascii="Calibri" w:hAnsi="Calibri" w:cs="Calibri"/>
                <w:sz w:val="22"/>
                <w:szCs w:val="22"/>
              </w:rPr>
              <w:t>Spend User submits an expense report that unwittingly contravenes a Federal or State regulation. How can these deficiencies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track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 handled automatically?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Be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cause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Regulatory rules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vary between states, integrated tooling </w:t>
            </w:r>
            <w:r>
              <w:rPr>
                <w:rFonts w:ascii="Calibri" w:hAnsi="Calibri" w:cs="Calibri"/>
                <w:sz w:val="22"/>
                <w:szCs w:val="22"/>
              </w:rPr>
              <w:t>provides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intelligent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process customization and optimization.  Imagine being able to add a custom approval to your </w:t>
            </w:r>
            <w:r>
              <w:rPr>
                <w:rFonts w:ascii="Calibri" w:hAnsi="Calibri" w:cs="Calibri"/>
                <w:sz w:val="22"/>
                <w:szCs w:val="22"/>
              </w:rPr>
              <w:t>Compliance Case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process, or integrating with a new service for </w:t>
            </w:r>
            <w:r>
              <w:rPr>
                <w:rFonts w:ascii="Calibri" w:hAnsi="Calibri" w:cs="Calibri"/>
                <w:sz w:val="22"/>
                <w:szCs w:val="22"/>
              </w:rPr>
              <w:t>authentication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sz w:val="22"/>
                <w:szCs w:val="22"/>
              </w:rPr>
              <w:t>customer information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.   The ability to easily change the structure and design of the process gives </w:t>
            </w:r>
            <w:r>
              <w:rPr>
                <w:rFonts w:ascii="Calibri" w:hAnsi="Calibri" w:cs="Calibri"/>
                <w:sz w:val="22"/>
                <w:szCs w:val="22"/>
              </w:rPr>
              <w:t>companies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the freedom, flexibility and speed to adapt to unique and changing business needs.</w:t>
            </w:r>
          </w:p>
        </w:tc>
        <w:tc>
          <w:tcPr>
            <w:tcW w:w="831" w:type="dxa"/>
            <w:tcBorders>
              <w:lef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sz w:val="22"/>
                <w:szCs w:val="22"/>
              </w:rPr>
              <w:t xml:space="preserve">Transition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361" w:type="dxa"/>
            <w:shd w:val="clear" w:color="auto" w:fill="D3DFEE"/>
          </w:tcPr>
          <w:p w:rsidR="00180412" w:rsidRPr="00994C7A" w:rsidRDefault="00180412" w:rsidP="007C154A">
            <w:p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fade to black background with white text</w:t>
            </w:r>
          </w:p>
        </w:tc>
        <w:tc>
          <w:tcPr>
            <w:tcW w:w="5541" w:type="dxa"/>
            <w:shd w:val="clear" w:color="auto" w:fill="D3DFE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Integrated</w:t>
            </w:r>
          </w:p>
        </w:tc>
        <w:tc>
          <w:tcPr>
            <w:tcW w:w="4087" w:type="dxa"/>
            <w:shd w:val="clear" w:color="auto" w:fill="D3DFE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831" w:type="dxa"/>
            <w:shd w:val="clear" w:color="auto" w:fill="D3DFE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3s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B456A8" w:rsidRDefault="00180412" w:rsidP="007C154A">
            <w:pPr>
              <w:pStyle w:val="NormalWeb"/>
              <w:spacing w:before="0" w:beforeAutospacing="0" w:after="0" w:afterAutospacing="0"/>
              <w:rPr>
                <w:rFonts w:ascii="Calibri Bold" w:hAnsi="Calibri Bold" w:cs="Calibri Bold"/>
                <w:b/>
                <w:bCs/>
              </w:rPr>
            </w:pPr>
            <w:r w:rsidRPr="00B456A8">
              <w:rPr>
                <w:rFonts w:ascii="Calibri Bold" w:hAnsi="Calibri Bold" w:cs="Calibri Bold"/>
                <w:b/>
                <w:bCs/>
                <w:sz w:val="22"/>
                <w:szCs w:val="22"/>
              </w:rPr>
              <w:t>System Integration</w:t>
            </w:r>
          </w:p>
        </w:tc>
        <w:tc>
          <w:tcPr>
            <w:tcW w:w="23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232BF4" w:rsidRDefault="00180412" w:rsidP="007C154A">
            <w:pPr>
              <w:numPr>
                <w:ilvl w:val="0"/>
                <w:numId w:val="45"/>
                <w:numberingChange w:id="11" w:author="Unknown" w:date="2011-04-06T13:30:00Z" w:original="%1:1:0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Show a </w:t>
            </w:r>
            <w:r>
              <w:rPr>
                <w:rFonts w:ascii="Calibri" w:hAnsi="Calibri" w:cs="Calibri"/>
                <w:sz w:val="22"/>
                <w:szCs w:val="22"/>
              </w:rPr>
              <w:t>Covered Recipient (Ivana)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receiving a notification of </w:t>
            </w:r>
            <w:r>
              <w:rPr>
                <w:rFonts w:ascii="Calibri" w:hAnsi="Calibri" w:cs="Calibri"/>
                <w:sz w:val="22"/>
                <w:szCs w:val="22"/>
              </w:rPr>
              <w:t>Monthly Spend Report</w:t>
            </w:r>
          </w:p>
          <w:p w:rsidR="00180412" w:rsidRPr="00994C7A" w:rsidRDefault="00180412" w:rsidP="007C154A">
            <w:pPr>
              <w:numPr>
                <w:ilvl w:val="0"/>
                <w:numId w:val="45"/>
                <w:numberingChange w:id="12" w:author="Unknown" w:date="2011-04-06T13:30:00Z" w:original="%1:2:0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Show </w:t>
            </w:r>
            <w:r>
              <w:rPr>
                <w:rFonts w:ascii="Calibri" w:hAnsi="Calibri" w:cs="Calibri"/>
                <w:sz w:val="22"/>
                <w:szCs w:val="22"/>
              </w:rPr>
              <w:t>Covered Recipient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disputing a Spend Record</w:t>
            </w:r>
          </w:p>
        </w:tc>
        <w:tc>
          <w:tcPr>
            <w:tcW w:w="55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408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Access to and integration with multiple state systems that support the </w:t>
            </w:r>
            <w:r>
              <w:rPr>
                <w:rFonts w:ascii="Calibri" w:hAnsi="Calibri" w:cs="Calibri"/>
                <w:sz w:val="22"/>
                <w:szCs w:val="22"/>
              </w:rPr>
              <w:t>Compliance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process, such as access to </w:t>
            </w:r>
            <w:r>
              <w:rPr>
                <w:rFonts w:ascii="Calibri" w:hAnsi="Calibri" w:cs="Calibri"/>
                <w:sz w:val="22"/>
                <w:szCs w:val="22"/>
              </w:rPr>
              <w:t>Expense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data and </w:t>
            </w:r>
            <w:r>
              <w:rPr>
                <w:rFonts w:ascii="Calibri" w:hAnsi="Calibri" w:cs="Calibri"/>
                <w:sz w:val="22"/>
                <w:szCs w:val="22"/>
              </w:rPr>
              <w:t>Client information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services creates added complexity and limits transparency.  Embedded integration points enable </w:t>
            </w:r>
            <w:r>
              <w:rPr>
                <w:rFonts w:ascii="Calibri" w:hAnsi="Calibri" w:cs="Calibri"/>
                <w:sz w:val="22"/>
                <w:szCs w:val="22"/>
              </w:rPr>
              <w:t>Covered Recipients to review Promotional payments received from multiple sources and to accept or dispute these payments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.  Once complete,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Covered Recipients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are notified of the changes and corresponding </w:t>
            </w:r>
            <w:r>
              <w:rPr>
                <w:rFonts w:ascii="Calibri" w:hAnsi="Calibri" w:cs="Calibri"/>
                <w:sz w:val="22"/>
                <w:szCs w:val="22"/>
              </w:rPr>
              <w:t>dispositions are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pulled into the system </w:t>
            </w:r>
          </w:p>
        </w:tc>
        <w:tc>
          <w:tcPr>
            <w:tcW w:w="831" w:type="dxa"/>
            <w:tcBorders>
              <w:left w:val="single" w:sz="6" w:space="0" w:color="4F81BD"/>
            </w:tcBorders>
            <w:shd w:val="clear" w:color="auto" w:fill="A7BFDE"/>
          </w:tcPr>
          <w:p w:rsidR="00180412" w:rsidRPr="00994C7A" w:rsidRDefault="00180412" w:rsidP="007C15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sz w:val="22"/>
                <w:szCs w:val="22"/>
              </w:rPr>
              <w:t xml:space="preserve">Transition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361" w:type="dxa"/>
            <w:shd w:val="clear" w:color="auto" w:fill="D3DFEE"/>
          </w:tcPr>
          <w:p w:rsidR="00180412" w:rsidRPr="00994C7A" w:rsidRDefault="00180412" w:rsidP="00994C7A">
            <w:p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fade to black background with white text</w:t>
            </w:r>
          </w:p>
        </w:tc>
        <w:tc>
          <w:tcPr>
            <w:tcW w:w="5541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Flexible</w:t>
            </w:r>
          </w:p>
        </w:tc>
        <w:tc>
          <w:tcPr>
            <w:tcW w:w="4087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831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3s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Configurable business rules</w:t>
            </w:r>
          </w:p>
        </w:tc>
        <w:tc>
          <w:tcPr>
            <w:tcW w:w="23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6F60D9">
            <w:pPr>
              <w:numPr>
                <w:ilvl w:val="1"/>
                <w:numId w:val="13"/>
                <w:numberingChange w:id="13" w:author="Unknown" w:date="2011-04-06T13:30:00Z" w:original="%2:1:0:."/>
              </w:numPr>
              <w:tabs>
                <w:tab w:val="clear" w:pos="1440"/>
              </w:tabs>
              <w:ind w:left="353"/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Show navigation to rules management </w:t>
            </w:r>
          </w:p>
          <w:p w:rsidR="00180412" w:rsidRPr="00994C7A" w:rsidRDefault="00180412" w:rsidP="006F60D9">
            <w:pPr>
              <w:numPr>
                <w:ilvl w:val="1"/>
                <w:numId w:val="13"/>
                <w:numberingChange w:id="14" w:author="Unknown" w:date="2011-04-06T13:30:00Z" w:original="%2:2:0:."/>
              </w:numPr>
              <w:tabs>
                <w:tab w:val="clear" w:pos="1440"/>
              </w:tabs>
              <w:ind w:left="353"/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Show </w:t>
            </w:r>
            <w:r>
              <w:rPr>
                <w:rFonts w:ascii="Calibri" w:hAnsi="Calibri" w:cs="Calibri"/>
                <w:sz w:val="22"/>
                <w:szCs w:val="22"/>
              </w:rPr>
              <w:t>PCS Administrator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(Miguel)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making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rule change</w:t>
            </w:r>
          </w:p>
        </w:tc>
        <w:tc>
          <w:tcPr>
            <w:tcW w:w="55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408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Flexibility truly is critical to organizational success.  </w:t>
            </w:r>
            <w:r>
              <w:rPr>
                <w:rFonts w:ascii="Calibri" w:hAnsi="Calibri" w:cs="Calibri"/>
                <w:sz w:val="22"/>
                <w:szCs w:val="22"/>
              </w:rPr>
              <w:t>Government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legislation,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company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policies and processes will evolve over time.   And leveraging business rules that are simple to understand, easy to change and quick to deploy throughout the </w:t>
            </w:r>
            <w:r>
              <w:rPr>
                <w:rFonts w:ascii="Calibri" w:hAnsi="Calibri" w:cs="Calibri"/>
                <w:sz w:val="22"/>
                <w:szCs w:val="22"/>
              </w:rPr>
              <w:t>Promotional Compliance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process, provides an additional level of dynamicity and intelligence.   Thus, when policy changes, </w:t>
            </w:r>
            <w:r>
              <w:rPr>
                <w:rFonts w:ascii="Calibri" w:hAnsi="Calibri" w:cs="Calibri"/>
                <w:sz w:val="22"/>
                <w:szCs w:val="22"/>
              </w:rPr>
              <w:t>such as new state regulation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a </w:t>
            </w:r>
            <w:r>
              <w:rPr>
                <w:rFonts w:ascii="Calibri" w:hAnsi="Calibri" w:cs="Calibri"/>
                <w:sz w:val="22"/>
                <w:szCs w:val="22"/>
              </w:rPr>
              <w:t>PCS Administrator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is able to rapidly modify the process to enact the change.  Pre-built rules enable customization by </w:t>
            </w:r>
            <w:r>
              <w:rPr>
                <w:rFonts w:ascii="Calibri" w:hAnsi="Calibri" w:cs="Calibri"/>
                <w:sz w:val="22"/>
                <w:szCs w:val="22"/>
              </w:rPr>
              <w:t>Category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Activity type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Spend Type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and even to the granularity of specific </w:t>
            </w:r>
            <w:r>
              <w:rPr>
                <w:rFonts w:ascii="Calibri" w:hAnsi="Calibri" w:cs="Calibri"/>
                <w:sz w:val="22"/>
                <w:szCs w:val="22"/>
              </w:rPr>
              <w:t>Expense types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.   Additionally, business rules can be easily augmented with content to meet your specific needs.  </w:t>
            </w:r>
          </w:p>
        </w:tc>
        <w:tc>
          <w:tcPr>
            <w:tcW w:w="831" w:type="dxa"/>
            <w:tcBorders>
              <w:lef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sz w:val="22"/>
                <w:szCs w:val="22"/>
              </w:rPr>
              <w:t>Transition 5</w:t>
            </w:r>
          </w:p>
        </w:tc>
        <w:tc>
          <w:tcPr>
            <w:tcW w:w="2361" w:type="dxa"/>
            <w:shd w:val="clear" w:color="auto" w:fill="D3DFEE"/>
          </w:tcPr>
          <w:p w:rsidR="00180412" w:rsidRPr="00994C7A" w:rsidRDefault="00180412" w:rsidP="00994C7A">
            <w:p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fade to black background with white text</w:t>
            </w:r>
          </w:p>
        </w:tc>
        <w:tc>
          <w:tcPr>
            <w:tcW w:w="5541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Intelligent</w:t>
            </w:r>
          </w:p>
        </w:tc>
        <w:tc>
          <w:tcPr>
            <w:tcW w:w="4087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831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3s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Dashboards</w:t>
            </w:r>
            <w:r w:rsidRPr="00994C7A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994C7A">
              <w:rPr>
                <w:rFonts w:ascii="Calibri" w:hAnsi="Calibri" w:cs="Calibri"/>
                <w:b/>
                <w:sz w:val="22"/>
                <w:szCs w:val="22"/>
              </w:rPr>
              <w:t>nalytics</w:t>
            </w:r>
          </w:p>
        </w:tc>
        <w:tc>
          <w:tcPr>
            <w:tcW w:w="23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1E3737">
            <w:pPr>
              <w:numPr>
                <w:ilvl w:val="0"/>
                <w:numId w:val="42"/>
                <w:numberingChange w:id="15" w:author="Unknown" w:date="2011-04-06T13:30:00Z" w:original="%1:1:0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Show </w:t>
            </w:r>
            <w:r>
              <w:rPr>
                <w:rFonts w:ascii="Calibri" w:hAnsi="Calibri" w:cs="Calibri"/>
                <w:sz w:val="22"/>
                <w:szCs w:val="22"/>
              </w:rPr>
              <w:t>Promotional Spend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analysis report</w:t>
            </w:r>
          </w:p>
          <w:p w:rsidR="00180412" w:rsidRPr="00994C7A" w:rsidRDefault="00180412" w:rsidP="001E3737">
            <w:pPr>
              <w:numPr>
                <w:ilvl w:val="1"/>
                <w:numId w:val="42"/>
                <w:numberingChange w:id="16" w:author="Unknown" w:date="2011-04-06T13:30:00Z" w:original="%2:1:4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Drill into 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Report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chart</w:t>
            </w:r>
          </w:p>
          <w:p w:rsidR="00180412" w:rsidRPr="00994C7A" w:rsidRDefault="00180412" w:rsidP="001E3737">
            <w:pPr>
              <w:numPr>
                <w:ilvl w:val="1"/>
                <w:numId w:val="42"/>
                <w:numberingChange w:id="17" w:author="Unknown" w:date="2011-04-06T13:30:00Z" w:original="%2:2:4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Open drop down and change view</w:t>
            </w:r>
          </w:p>
          <w:p w:rsidR="00180412" w:rsidRPr="00994C7A" w:rsidRDefault="00180412" w:rsidP="001E3737">
            <w:pPr>
              <w:numPr>
                <w:ilvl w:val="0"/>
                <w:numId w:val="42"/>
                <w:numberingChange w:id="18" w:author="Unknown" w:date="2011-04-06T13:30:00Z" w:original="%1:2:0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Show </w:t>
            </w:r>
            <w:r>
              <w:rPr>
                <w:rFonts w:ascii="Calibri" w:hAnsi="Calibri" w:cs="Calibri"/>
                <w:sz w:val="22"/>
                <w:szCs w:val="22"/>
              </w:rPr>
              <w:t>Promotional Spend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Case 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status</w:t>
            </w:r>
          </w:p>
          <w:p w:rsidR="00180412" w:rsidRPr="00994C7A" w:rsidRDefault="00180412" w:rsidP="001E3737">
            <w:pPr>
              <w:numPr>
                <w:ilvl w:val="1"/>
                <w:numId w:val="42"/>
                <w:numberingChange w:id="19" w:author="Unknown" w:date="2011-04-06T13:30:00Z" w:original="%2:1:4:."/>
              </w:numPr>
              <w:textAlignment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Filter dates</w:t>
            </w:r>
          </w:p>
          <w:p w:rsidR="00180412" w:rsidRPr="00994C7A" w:rsidRDefault="00180412" w:rsidP="006F60D9">
            <w:pPr>
              <w:pStyle w:val="NormalWeb"/>
              <w:spacing w:before="0" w:beforeAutospacing="0" w:after="0" w:afterAutospacing="0"/>
              <w:ind w:left="893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180412" w:rsidRPr="00994C7A" w:rsidRDefault="00180412" w:rsidP="006F60D9">
            <w:pPr>
              <w:pStyle w:val="NormalWeb"/>
              <w:spacing w:before="0" w:beforeAutospacing="0" w:after="0" w:afterAutospacing="0"/>
              <w:ind w:left="353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408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Ultimately, to enable </w:t>
            </w:r>
            <w:r>
              <w:rPr>
                <w:rFonts w:ascii="Calibri" w:hAnsi="Calibri" w:cs="Calibri"/>
                <w:sz w:val="22"/>
                <w:szCs w:val="22"/>
              </w:rPr>
              <w:t>companies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to enhance </w:t>
            </w:r>
            <w:r>
              <w:rPr>
                <w:rFonts w:ascii="Calibri" w:hAnsi="Calibri" w:cs="Calibri"/>
                <w:sz w:val="22"/>
                <w:szCs w:val="22"/>
              </w:rPr>
              <w:t>promotional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outcomes, they must first monitor, measure and track </w:t>
            </w:r>
            <w:r>
              <w:rPr>
                <w:rFonts w:ascii="Calibri" w:hAnsi="Calibri" w:cs="Calibri"/>
                <w:sz w:val="22"/>
                <w:szCs w:val="22"/>
              </w:rPr>
              <w:t>promotional spend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.   Using robust analytics capabilities, the </w:t>
            </w:r>
            <w:r>
              <w:rPr>
                <w:rFonts w:ascii="Calibri" w:hAnsi="Calibri" w:cs="Calibri"/>
                <w:sz w:val="22"/>
                <w:szCs w:val="22"/>
              </w:rPr>
              <w:t>company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is able to create numerous report types granting them unprecedented exposure to </w:t>
            </w:r>
            <w:r>
              <w:rPr>
                <w:rFonts w:ascii="Calibri" w:hAnsi="Calibri" w:cs="Calibri"/>
                <w:sz w:val="22"/>
                <w:szCs w:val="22"/>
              </w:rPr>
              <w:t>promotional expenditures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and performance throughout the process.   Built-in business end-user support allows for enhanced interaction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allowing users to easily manipulate and modify reports.  These enhancements will pave the way for </w:t>
            </w:r>
            <w:r>
              <w:rPr>
                <w:rFonts w:ascii="Calibri" w:hAnsi="Calibri" w:cs="Calibri"/>
                <w:sz w:val="22"/>
                <w:szCs w:val="22"/>
              </w:rPr>
              <w:t>companies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to leverage advanced analytics that will ultimately drive better </w:t>
            </w:r>
            <w:r>
              <w:rPr>
                <w:rFonts w:ascii="Calibri" w:hAnsi="Calibri" w:cs="Calibri"/>
                <w:sz w:val="22"/>
                <w:szCs w:val="22"/>
              </w:rPr>
              <w:t>promotional expenditures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through the correlation of </w:t>
            </w:r>
            <w:r>
              <w:rPr>
                <w:rFonts w:ascii="Calibri" w:hAnsi="Calibri" w:cs="Calibri"/>
                <w:sz w:val="22"/>
                <w:szCs w:val="22"/>
              </w:rPr>
              <w:t>Spend User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disbursements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sz w:val="22"/>
                <w:szCs w:val="22"/>
              </w:rPr>
              <w:t>Covered Recipient performance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1" w:type="dxa"/>
            <w:tcBorders>
              <w:lef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994C7A">
              <w:rPr>
                <w:rFonts w:ascii="Calibri" w:hAnsi="Calibri" w:cs="Calibri"/>
                <w:b/>
                <w:bCs/>
                <w:sz w:val="22"/>
                <w:szCs w:val="22"/>
              </w:rPr>
              <w:t>End</w:t>
            </w:r>
          </w:p>
        </w:tc>
        <w:tc>
          <w:tcPr>
            <w:tcW w:w="2361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fade to black background with white text</w:t>
            </w:r>
          </w:p>
        </w:tc>
        <w:tc>
          <w:tcPr>
            <w:tcW w:w="5541" w:type="dxa"/>
            <w:shd w:val="clear" w:color="auto" w:fill="D3DFEE"/>
          </w:tcPr>
          <w:p w:rsidR="00180412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IBM Logo + link to </w:t>
            </w:r>
            <w:r>
              <w:rPr>
                <w:rFonts w:ascii="Calibri" w:hAnsi="Calibri" w:cs="Calibri"/>
                <w:sz w:val="22"/>
                <w:szCs w:val="22"/>
              </w:rPr>
              <w:t>Life Sciences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page</w:t>
            </w:r>
          </w:p>
          <w:p w:rsidR="00180412" w:rsidRPr="00994C7A" w:rsidRDefault="00180412" w:rsidP="00C9078B">
            <w:pPr>
              <w:pStyle w:val="NormalWeb"/>
              <w:rPr>
                <w:rFonts w:ascii="Calibri" w:hAnsi="Calibri" w:cs="Calibri"/>
              </w:rPr>
            </w:pPr>
            <w:r w:rsidRPr="00C9078B">
              <w:rPr>
                <w:rFonts w:ascii="Calibri" w:hAnsi="Calibri" w:cs="Calibri"/>
              </w:rPr>
              <w:t>http://www-01.ibm.com/software/info/bpm/industry/healthcare-life-sciences/</w:t>
            </w:r>
          </w:p>
        </w:tc>
        <w:tc>
          <w:tcPr>
            <w:tcW w:w="4087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 xml:space="preserve">IBM is working to build better outcomes in </w:t>
            </w:r>
            <w:r>
              <w:rPr>
                <w:rFonts w:ascii="Calibri" w:hAnsi="Calibri" w:cs="Calibri"/>
                <w:sz w:val="22"/>
                <w:szCs w:val="22"/>
              </w:rPr>
              <w:t>Life Sciences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, to learn more about the IBM </w:t>
            </w:r>
            <w:r>
              <w:rPr>
                <w:rFonts w:ascii="Calibri" w:hAnsi="Calibri" w:cs="Calibri"/>
                <w:sz w:val="22"/>
                <w:szCs w:val="22"/>
              </w:rPr>
              <w:t>Promotional Spend Compliance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Accelerator for </w:t>
            </w:r>
            <w:r>
              <w:rPr>
                <w:rFonts w:ascii="Calibri" w:hAnsi="Calibri" w:cs="Calibri"/>
                <w:sz w:val="22"/>
                <w:szCs w:val="22"/>
              </w:rPr>
              <w:t>Life Sciences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, contact your IBM representative.</w:t>
            </w:r>
          </w:p>
        </w:tc>
        <w:tc>
          <w:tcPr>
            <w:tcW w:w="831" w:type="dxa"/>
            <w:shd w:val="clear" w:color="auto" w:fill="D3DFE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180412" w:rsidRPr="00994C7A" w:rsidTr="00122104">
        <w:trPr>
          <w:divId w:val="1360084233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55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408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</w:rPr>
            </w:pPr>
            <w:r w:rsidRPr="00994C7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831" w:type="dxa"/>
            <w:tcBorders>
              <w:left w:val="single" w:sz="6" w:space="0" w:color="4F81BD"/>
            </w:tcBorders>
            <w:shd w:val="clear" w:color="auto" w:fill="A7BFDE"/>
          </w:tcPr>
          <w:p w:rsidR="00180412" w:rsidRPr="00994C7A" w:rsidRDefault="00180412" w:rsidP="00994C7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994C7A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13s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 xml:space="preserve"> (5</w:t>
            </w:r>
            <w:r>
              <w:rPr>
                <w:rFonts w:ascii="Calibri" w:hAnsi="Calibri" w:cs="Calibri"/>
                <w:sz w:val="22"/>
                <w:szCs w:val="22"/>
              </w:rPr>
              <w:t>:13s</w:t>
            </w:r>
            <w:r w:rsidRPr="00994C7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180412" w:rsidRDefault="00180412" w:rsidP="002B14D7">
      <w:pPr>
        <w:textAlignment w:val="center"/>
        <w:rPr>
          <w:rFonts w:ascii="Calibri" w:hAnsi="Calibri" w:cs="Calibri"/>
          <w:sz w:val="22"/>
          <w:szCs w:val="22"/>
        </w:rPr>
      </w:pPr>
    </w:p>
    <w:sectPr w:rsidR="00180412" w:rsidSect="00C4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8B"/>
    <w:multiLevelType w:val="multilevel"/>
    <w:tmpl w:val="80E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418"/>
    <w:multiLevelType w:val="multilevel"/>
    <w:tmpl w:val="D10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94B4A"/>
    <w:multiLevelType w:val="multilevel"/>
    <w:tmpl w:val="139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C7726"/>
    <w:multiLevelType w:val="multilevel"/>
    <w:tmpl w:val="36EE9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A15EA2"/>
    <w:multiLevelType w:val="multilevel"/>
    <w:tmpl w:val="80E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4ADD"/>
    <w:multiLevelType w:val="multilevel"/>
    <w:tmpl w:val="36EE9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7B1A30"/>
    <w:multiLevelType w:val="hybridMultilevel"/>
    <w:tmpl w:val="B660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F670DC"/>
    <w:multiLevelType w:val="multilevel"/>
    <w:tmpl w:val="E47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27677"/>
    <w:multiLevelType w:val="multilevel"/>
    <w:tmpl w:val="139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12C25"/>
    <w:multiLevelType w:val="hybridMultilevel"/>
    <w:tmpl w:val="33DCCABE"/>
    <w:lvl w:ilvl="0" w:tplc="040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10">
    <w:nsid w:val="20A351F4"/>
    <w:multiLevelType w:val="multilevel"/>
    <w:tmpl w:val="36EE9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787FC3"/>
    <w:multiLevelType w:val="hybridMultilevel"/>
    <w:tmpl w:val="CFB278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0A2657"/>
    <w:multiLevelType w:val="multilevel"/>
    <w:tmpl w:val="36EE9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DE3164E"/>
    <w:multiLevelType w:val="multilevel"/>
    <w:tmpl w:val="D10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31062"/>
    <w:multiLevelType w:val="multilevel"/>
    <w:tmpl w:val="36EE9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C084804"/>
    <w:multiLevelType w:val="multilevel"/>
    <w:tmpl w:val="36EE9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2C16A7"/>
    <w:multiLevelType w:val="multilevel"/>
    <w:tmpl w:val="80E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E3FBB"/>
    <w:multiLevelType w:val="hybridMultilevel"/>
    <w:tmpl w:val="36EE9B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AE3CA5"/>
    <w:multiLevelType w:val="multilevel"/>
    <w:tmpl w:val="F43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41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</w:rPr>
    </w:lvl>
  </w:abstractNum>
  <w:abstractNum w:abstractNumId="20">
    <w:nsid w:val="5E454D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</w:rPr>
    </w:lvl>
  </w:abstractNum>
  <w:abstractNum w:abstractNumId="21">
    <w:nsid w:val="76101281"/>
    <w:multiLevelType w:val="multilevel"/>
    <w:tmpl w:val="3D1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07680"/>
    <w:multiLevelType w:val="multilevel"/>
    <w:tmpl w:val="B810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56F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</w:rPr>
    </w:lvl>
  </w:abstractNum>
  <w:abstractNum w:abstractNumId="24">
    <w:nsid w:val="7E887EC5"/>
    <w:multiLevelType w:val="multilevel"/>
    <w:tmpl w:val="80E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/>
    <w:lvlOverride w:ilvl="1">
      <w:startOverride w:val="1"/>
    </w:lvlOverride>
  </w:num>
  <w:num w:numId="2">
    <w:abstractNumId w:val="21"/>
    <w:lvlOverride w:ilvl="0"/>
    <w:lvlOverride w:ilvl="1">
      <w:startOverride w:val="2"/>
    </w:lvlOverride>
  </w:num>
  <w:num w:numId="3">
    <w:abstractNumId w:val="21"/>
    <w:lvlOverride w:ilvl="0"/>
    <w:lvlOverride w:ilvl="1">
      <w:startOverride w:val="3"/>
    </w:lvlOverride>
  </w:num>
  <w:num w:numId="4">
    <w:abstractNumId w:val="13"/>
    <w:lvlOverride w:ilvl="0"/>
    <w:lvlOverride w:ilvl="1">
      <w:startOverride w:val="1"/>
    </w:lvlOverride>
  </w:num>
  <w:num w:numId="5">
    <w:abstractNumId w:val="13"/>
    <w:lvlOverride w:ilvl="0"/>
    <w:lvlOverride w:ilvl="1">
      <w:startOverride w:val="3"/>
    </w:lvlOverride>
  </w:num>
  <w:num w:numId="6">
    <w:abstractNumId w:val="16"/>
    <w:lvlOverride w:ilvl="0"/>
    <w:lvlOverride w:ilvl="1">
      <w:startOverride w:val="1"/>
    </w:lvlOverride>
  </w:num>
  <w:num w:numId="7">
    <w:abstractNumId w:val="16"/>
  </w:num>
  <w:num w:numId="8">
    <w:abstractNumId w:val="16"/>
    <w:lvlOverride w:ilvl="0"/>
    <w:lvlOverride w:ilvl="1"/>
    <w:lvlOverride w:ilvl="2">
      <w:startOverride w:val="2"/>
    </w:lvlOverride>
  </w:num>
  <w:num w:numId="9">
    <w:abstractNumId w:val="16"/>
    <w:lvlOverride w:ilvl="0"/>
    <w:lvlOverride w:ilvl="1"/>
    <w:lvlOverride w:ilvl="2">
      <w:startOverride w:val="3"/>
    </w:lvlOverride>
  </w:num>
  <w:num w:numId="10">
    <w:abstractNumId w:val="16"/>
  </w:num>
  <w:num w:numId="11">
    <w:abstractNumId w:val="16"/>
    <w:lvlOverride w:ilvl="0"/>
    <w:lvlOverride w:ilvl="1">
      <w:startOverride w:val="2"/>
    </w:lvlOverride>
    <w:lvlOverride w:ilvl="2"/>
  </w:num>
  <w:num w:numId="12">
    <w:abstractNumId w:val="16"/>
    <w:lvlOverride w:ilvl="0"/>
    <w:lvlOverride w:ilvl="1"/>
    <w:lvlOverride w:ilvl="2">
      <w:startOverride w:val="1"/>
    </w:lvlOverride>
  </w:num>
  <w:num w:numId="13">
    <w:abstractNumId w:val="22"/>
    <w:lvlOverride w:ilvl="0"/>
    <w:lvlOverride w:ilvl="1">
      <w:startOverride w:val="1"/>
    </w:lvlOverride>
  </w:num>
  <w:num w:numId="14">
    <w:abstractNumId w:val="8"/>
    <w:lvlOverride w:ilvl="0"/>
    <w:lvlOverride w:ilvl="1">
      <w:startOverride w:val="1"/>
    </w:lvlOverride>
  </w:num>
  <w:num w:numId="15">
    <w:abstractNumId w:val="20"/>
  </w:num>
  <w:num w:numId="16">
    <w:abstractNumId w:val="20"/>
    <w:lvlOverride w:ilvl="0"/>
    <w:lvlOverride w:ilvl="1"/>
    <w:lvlOverride w:ilvl="2">
      <w:startOverride w:val="1"/>
    </w:lvlOverride>
  </w:num>
  <w:num w:numId="17">
    <w:abstractNumId w:val="20"/>
    <w:lvlOverride w:ilvl="0"/>
    <w:lvlOverride w:ilvl="1">
      <w:startOverride w:val="2"/>
    </w:lvlOverride>
    <w:lvlOverride w:ilvl="2"/>
  </w:num>
  <w:num w:numId="18">
    <w:abstractNumId w:val="20"/>
    <w:lvlOverride w:ilvl="0"/>
    <w:lvlOverride w:ilvl="1"/>
    <w:lvlOverride w:ilvl="2">
      <w:startOverride w:val="1"/>
    </w:lvlOverride>
  </w:num>
  <w:num w:numId="19">
    <w:abstractNumId w:val="7"/>
    <w:lvlOverride w:ilvl="0"/>
    <w:lvlOverride w:ilvl="1">
      <w:startOverride w:val="1"/>
    </w:lvlOverride>
  </w:num>
  <w:num w:numId="20">
    <w:abstractNumId w:val="7"/>
    <w:lvlOverride w:ilvl="0"/>
    <w:lvlOverride w:ilvl="1"/>
    <w:lvlOverride w:ilvl="2">
      <w:startOverride w:val="1"/>
    </w:lvlOverride>
  </w:num>
  <w:num w:numId="21">
    <w:abstractNumId w:val="7"/>
    <w:lvlOverride w:ilvl="0"/>
    <w:lvlOverride w:ilvl="1">
      <w:startOverride w:val="2"/>
    </w:lvlOverride>
    <w:lvlOverride w:ilvl="2"/>
  </w:num>
  <w:num w:numId="22">
    <w:abstractNumId w:val="7"/>
    <w:lvlOverride w:ilvl="0"/>
    <w:lvlOverride w:ilvl="1"/>
    <w:lvlOverride w:ilvl="2">
      <w:startOverride w:val="1"/>
    </w:lvlOverride>
  </w:num>
  <w:num w:numId="23">
    <w:abstractNumId w:val="7"/>
    <w:lvlOverride w:ilvl="0"/>
    <w:lvlOverride w:ilvl="1"/>
    <w:lvlOverride w:ilvl="2">
      <w:startOverride w:val="3"/>
    </w:lvlOverride>
  </w:num>
  <w:num w:numId="24">
    <w:abstractNumId w:val="7"/>
    <w:lvlOverride w:ilvl="0"/>
    <w:lvlOverride w:ilvl="1">
      <w:startOverride w:val="3"/>
    </w:lvlOverride>
    <w:lvlOverride w:ilvl="2"/>
  </w:num>
  <w:num w:numId="25">
    <w:abstractNumId w:val="7"/>
    <w:lvlOverride w:ilvl="0"/>
    <w:lvlOverride w:ilvl="1"/>
    <w:lvlOverride w:ilvl="2">
      <w:startOverride w:val="1"/>
    </w:lvlOverride>
  </w:num>
  <w:num w:numId="26">
    <w:abstractNumId w:val="7"/>
    <w:lvlOverride w:ilvl="0"/>
    <w:lvlOverride w:ilvl="1">
      <w:startOverride w:val="4"/>
    </w:lvlOverride>
    <w:lvlOverride w:ilvl="2"/>
  </w:num>
  <w:num w:numId="27">
    <w:abstractNumId w:val="7"/>
    <w:lvlOverride w:ilvl="0"/>
    <w:lvlOverride w:ilvl="1"/>
    <w:lvlOverride w:ilvl="2">
      <w:startOverride w:val="1"/>
    </w:lvlOverride>
  </w:num>
  <w:num w:numId="28">
    <w:abstractNumId w:val="7"/>
    <w:lvlOverride w:ilvl="0"/>
    <w:lvlOverride w:ilvl="1"/>
    <w:lvlOverride w:ilvl="2">
      <w:startOverride w:val="2"/>
    </w:lvlOverride>
  </w:num>
  <w:num w:numId="29">
    <w:abstractNumId w:val="6"/>
  </w:num>
  <w:num w:numId="30">
    <w:abstractNumId w:val="24"/>
  </w:num>
  <w:num w:numId="31">
    <w:abstractNumId w:val="11"/>
  </w:num>
  <w:num w:numId="32">
    <w:abstractNumId w:val="4"/>
  </w:num>
  <w:num w:numId="33">
    <w:abstractNumId w:val="17"/>
  </w:num>
  <w:num w:numId="34">
    <w:abstractNumId w:val="0"/>
  </w:num>
  <w:num w:numId="35">
    <w:abstractNumId w:val="9"/>
  </w:num>
  <w:num w:numId="36">
    <w:abstractNumId w:val="18"/>
  </w:num>
  <w:num w:numId="37">
    <w:abstractNumId w:val="19"/>
  </w:num>
  <w:num w:numId="38">
    <w:abstractNumId w:val="5"/>
  </w:num>
  <w:num w:numId="39">
    <w:abstractNumId w:val="23"/>
  </w:num>
  <w:num w:numId="40">
    <w:abstractNumId w:val="2"/>
  </w:num>
  <w:num w:numId="41">
    <w:abstractNumId w:val="1"/>
  </w:num>
  <w:num w:numId="42">
    <w:abstractNumId w:val="3"/>
  </w:num>
  <w:num w:numId="43">
    <w:abstractNumId w:val="14"/>
  </w:num>
  <w:num w:numId="44">
    <w:abstractNumId w:val="12"/>
  </w:num>
  <w:num w:numId="45">
    <w:abstractNumId w:val="10"/>
  </w:num>
  <w:num w:numId="46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trackRevision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70"/>
    <w:rsid w:val="00010B4A"/>
    <w:rsid w:val="00015461"/>
    <w:rsid w:val="00035721"/>
    <w:rsid w:val="000648AF"/>
    <w:rsid w:val="00065067"/>
    <w:rsid w:val="00081BC4"/>
    <w:rsid w:val="000A55DB"/>
    <w:rsid w:val="000B5D18"/>
    <w:rsid w:val="000C7E71"/>
    <w:rsid w:val="00122104"/>
    <w:rsid w:val="00143029"/>
    <w:rsid w:val="0015190D"/>
    <w:rsid w:val="0015375E"/>
    <w:rsid w:val="001754C2"/>
    <w:rsid w:val="00180412"/>
    <w:rsid w:val="00183621"/>
    <w:rsid w:val="00186AF0"/>
    <w:rsid w:val="00187A50"/>
    <w:rsid w:val="001D1C55"/>
    <w:rsid w:val="001E3737"/>
    <w:rsid w:val="001E59AC"/>
    <w:rsid w:val="0022189C"/>
    <w:rsid w:val="00223771"/>
    <w:rsid w:val="002239E6"/>
    <w:rsid w:val="00232BF4"/>
    <w:rsid w:val="00235A3D"/>
    <w:rsid w:val="00250C3B"/>
    <w:rsid w:val="00264750"/>
    <w:rsid w:val="002703E5"/>
    <w:rsid w:val="002B14D7"/>
    <w:rsid w:val="002B6EBA"/>
    <w:rsid w:val="002C7CDB"/>
    <w:rsid w:val="002E0182"/>
    <w:rsid w:val="002E1995"/>
    <w:rsid w:val="002E1C6A"/>
    <w:rsid w:val="00322AAE"/>
    <w:rsid w:val="00326685"/>
    <w:rsid w:val="0032796D"/>
    <w:rsid w:val="0036316D"/>
    <w:rsid w:val="003663C6"/>
    <w:rsid w:val="003A4AD4"/>
    <w:rsid w:val="004027A8"/>
    <w:rsid w:val="004047A6"/>
    <w:rsid w:val="00461B66"/>
    <w:rsid w:val="00473B75"/>
    <w:rsid w:val="004B7310"/>
    <w:rsid w:val="004C7EE1"/>
    <w:rsid w:val="004F2207"/>
    <w:rsid w:val="005204D2"/>
    <w:rsid w:val="005B1920"/>
    <w:rsid w:val="005C38B8"/>
    <w:rsid w:val="006071D8"/>
    <w:rsid w:val="00650F65"/>
    <w:rsid w:val="006539B2"/>
    <w:rsid w:val="00654CF5"/>
    <w:rsid w:val="0066327F"/>
    <w:rsid w:val="006641F0"/>
    <w:rsid w:val="0067415A"/>
    <w:rsid w:val="00696F61"/>
    <w:rsid w:val="006B2CE7"/>
    <w:rsid w:val="006B466C"/>
    <w:rsid w:val="006C4BEB"/>
    <w:rsid w:val="006D05D3"/>
    <w:rsid w:val="006E0514"/>
    <w:rsid w:val="006F1D42"/>
    <w:rsid w:val="006F2A5B"/>
    <w:rsid w:val="006F60D9"/>
    <w:rsid w:val="007079A9"/>
    <w:rsid w:val="00724FC0"/>
    <w:rsid w:val="00736AEC"/>
    <w:rsid w:val="00755434"/>
    <w:rsid w:val="007615C9"/>
    <w:rsid w:val="007A149A"/>
    <w:rsid w:val="007C154A"/>
    <w:rsid w:val="007D1C99"/>
    <w:rsid w:val="007D3649"/>
    <w:rsid w:val="007D53BE"/>
    <w:rsid w:val="00827B09"/>
    <w:rsid w:val="00835BCD"/>
    <w:rsid w:val="008573A1"/>
    <w:rsid w:val="00892698"/>
    <w:rsid w:val="008D0CA2"/>
    <w:rsid w:val="008D6B3E"/>
    <w:rsid w:val="008F0083"/>
    <w:rsid w:val="008F7C48"/>
    <w:rsid w:val="00912F33"/>
    <w:rsid w:val="00940F23"/>
    <w:rsid w:val="00965413"/>
    <w:rsid w:val="00971185"/>
    <w:rsid w:val="00994C7A"/>
    <w:rsid w:val="009C5DC6"/>
    <w:rsid w:val="009D0BE8"/>
    <w:rsid w:val="00A70607"/>
    <w:rsid w:val="00A76E31"/>
    <w:rsid w:val="00AB481B"/>
    <w:rsid w:val="00AB4D6D"/>
    <w:rsid w:val="00AE0CB9"/>
    <w:rsid w:val="00B00170"/>
    <w:rsid w:val="00B11F3B"/>
    <w:rsid w:val="00B456A8"/>
    <w:rsid w:val="00B473BE"/>
    <w:rsid w:val="00B54A43"/>
    <w:rsid w:val="00B7197D"/>
    <w:rsid w:val="00B81004"/>
    <w:rsid w:val="00B93246"/>
    <w:rsid w:val="00B95646"/>
    <w:rsid w:val="00BA0AE7"/>
    <w:rsid w:val="00BD7D72"/>
    <w:rsid w:val="00BF2D64"/>
    <w:rsid w:val="00BF316E"/>
    <w:rsid w:val="00C023E2"/>
    <w:rsid w:val="00C04564"/>
    <w:rsid w:val="00C12566"/>
    <w:rsid w:val="00C3305A"/>
    <w:rsid w:val="00C428AD"/>
    <w:rsid w:val="00C57F60"/>
    <w:rsid w:val="00C70D4A"/>
    <w:rsid w:val="00C9078B"/>
    <w:rsid w:val="00CA12BF"/>
    <w:rsid w:val="00CA7C3F"/>
    <w:rsid w:val="00CB4900"/>
    <w:rsid w:val="00CD29C1"/>
    <w:rsid w:val="00CE7357"/>
    <w:rsid w:val="00CF349E"/>
    <w:rsid w:val="00D15EDC"/>
    <w:rsid w:val="00D56944"/>
    <w:rsid w:val="00D57994"/>
    <w:rsid w:val="00DD10B5"/>
    <w:rsid w:val="00DE3E3F"/>
    <w:rsid w:val="00E019B8"/>
    <w:rsid w:val="00E42F1E"/>
    <w:rsid w:val="00E547C8"/>
    <w:rsid w:val="00E8692E"/>
    <w:rsid w:val="00E95591"/>
    <w:rsid w:val="00EB2888"/>
    <w:rsid w:val="00EC5A83"/>
    <w:rsid w:val="00ED5284"/>
    <w:rsid w:val="00F13779"/>
    <w:rsid w:val="00F2705C"/>
    <w:rsid w:val="00F345EE"/>
    <w:rsid w:val="00F66C76"/>
    <w:rsid w:val="00F70C75"/>
    <w:rsid w:val="00FD1631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28A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5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C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54C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4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4CF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4CF5"/>
    <w:rPr>
      <w:b/>
      <w:bCs/>
    </w:rPr>
  </w:style>
  <w:style w:type="paragraph" w:styleId="ListParagraph">
    <w:name w:val="List Paragraph"/>
    <w:basedOn w:val="Normal"/>
    <w:uiPriority w:val="99"/>
    <w:qFormat/>
    <w:rsid w:val="006071D8"/>
    <w:pPr>
      <w:ind w:left="720"/>
      <w:contextualSpacing/>
    </w:pPr>
  </w:style>
  <w:style w:type="table" w:styleId="MediumGrid3-Accent1">
    <w:name w:val="Medium Grid 3 Accent 1"/>
    <w:basedOn w:val="TableNormal"/>
    <w:uiPriority w:val="99"/>
    <w:rsid w:val="0014302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Shading-Accent1">
    <w:name w:val="Light Shading Accent 1"/>
    <w:basedOn w:val="TableNormal"/>
    <w:uiPriority w:val="99"/>
    <w:rsid w:val="0014302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99"/>
    <w:rsid w:val="00143029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143029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3</Pages>
  <Words>996</Words>
  <Characters>5679</Characters>
  <Application>Microsoft Office Outlook</Application>
  <DocSecurity>0</DocSecurity>
  <Lines>0</Lines>
  <Paragraphs>0</Paragraphs>
  <ScaleCrop>false</ScaleCrop>
  <Company>IBM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Promotional Spend Compliance Accelerator for Life Sciences (PSC) Business Demo and Script</dc:title>
  <dc:subject/>
  <dc:creator>IBM_USER</dc:creator>
  <cp:keywords/>
  <dc:description/>
  <cp:lastModifiedBy>Randy Williams</cp:lastModifiedBy>
  <cp:revision>21</cp:revision>
  <dcterms:created xsi:type="dcterms:W3CDTF">2011-04-05T17:58:00Z</dcterms:created>
  <dcterms:modified xsi:type="dcterms:W3CDTF">2011-04-06T18:18:00Z</dcterms:modified>
</cp:coreProperties>
</file>